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ind w:left="0" w:firstLine="0"/>
        <w:jc w:val="both"/>
        <w:spacing w:before="108" w:after="108" w:line="240" w:lineRule="auto"/>
        <w:rPr>
          <w:rFonts w:ascii="TimesNewRoman" w:hAnsi="TimesNewRoman" w:eastAsia="TimesNewRoman" w:cs="TimesNewRoman"/>
          <w:b/>
          <w:color w:val="000000"/>
          <w:sz w:val="24"/>
        </w:rPr>
        <w:outlineLvl w:val="0"/>
      </w:pPr>
      <w:r>
        <w:rPr>
          <w:rFonts w:ascii="TimesNewRoman" w:hAnsi="TimesNewRoman" w:eastAsia="TimesNewRoman" w:cs="TimesNewRoman"/>
          <w:b/>
          <w:color w:val="000000"/>
          <w:sz w:val="24"/>
        </w:rPr>
      </w:r>
      <w:r>
        <w:rPr>
          <w:rFonts w:ascii="TimesNewRoman" w:hAnsi="TimesNewRoman" w:eastAsia="TimesNewRoman" w:cs="TimesNewRoman"/>
          <w:b/>
          <w:color w:val="000000"/>
          <w:sz w:val="24"/>
        </w:rPr>
      </w:r>
      <w:r>
        <w:rPr>
          <w:rFonts w:ascii="TimesNewRoman" w:hAnsi="TimesNewRoman" w:eastAsia="TimesNewRoman" w:cs="TimesNewRoman"/>
          <w:b/>
          <w:color w:val="000000"/>
          <w:sz w:val="24"/>
        </w:rPr>
      </w:r>
    </w:p>
    <w:p>
      <w:pPr>
        <w:pStyle w:val="890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b/>
          <w:color w:val="000000"/>
          <w:sz w:val="24"/>
        </w:rPr>
        <w:outlineLvl w:val="0"/>
      </w:pPr>
      <w:r>
        <w:rPr>
          <w:rFonts w:ascii="TimesNewRoman" w:hAnsi="TimesNewRoman" w:eastAsia="TimesNewRoman" w:cs="TimesNewRoman"/>
          <w:b/>
          <w:color w:val="000000"/>
          <w:sz w:val="24"/>
        </w:rPr>
      </w:r>
      <w:r>
        <w:rPr>
          <w:rFonts w:ascii="TimesNewRoman" w:hAnsi="TimesNewRoman" w:eastAsia="TimesNewRoman" w:cs="TimesNewRoman"/>
          <w:b/>
          <w:color w:val="000000"/>
          <w:sz w:val="24"/>
        </w:rPr>
      </w:r>
      <w:r>
        <w:rPr>
          <w:rFonts w:ascii="TimesNewRoman" w:hAnsi="TimesNewRoman" w:eastAsia="TimesNewRoman" w:cs="TimesNewRoman"/>
          <w:b/>
          <w:color w:val="000000"/>
          <w:sz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pStyle w:val="889"/>
        <w:ind w:left="0" w:firstLine="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  <w:szCs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  <w:p>
      <w:pPr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  <w:szCs w:val="24"/>
        </w:rPr>
      </w:pPr>
      <w:r>
        <w:rPr>
          <w:rFonts w:ascii="TimesNewRoman" w:hAnsi="TimesNewRoman" w:eastAsia="TimesNewRoman" w:cs="TimesNewRoman"/>
          <w:sz w:val="24"/>
          <w:szCs w:val="24"/>
        </w:rPr>
      </w:r>
      <w:r>
        <w:rPr>
          <w:rFonts w:ascii="TimesNewRoman" w:hAnsi="TimesNewRoman" w:eastAsia="TimesNewRoman" w:cs="TimesNewRoman"/>
          <w:sz w:val="24"/>
          <w:szCs w:val="24"/>
        </w:rPr>
      </w:r>
    </w:p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  <w:szCs w:val="24"/>
        </w:rPr>
      </w:pP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  <w:szCs w:val="24"/>
        </w:rPr>
      </w:r>
    </w:p>
    <w:p>
      <w:pPr>
        <w:ind w:left="0" w:right="5430" w:firstLine="0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eastAsia="Tinos" w:cs="Tinos"/>
          <w:sz w:val="26"/>
          <w:szCs w:val="26"/>
          <w:u w:val="none"/>
          <w:lang w:val="ru-RU"/>
          <w14:ligatures w14:val="none"/>
        </w:rPr>
        <w:outlineLvl w:val="0"/>
      </w:pPr>
      <w:r>
        <w:rPr>
          <w:rFonts w:ascii="Tinos" w:hAnsi="Tinos" w:eastAsia="Tinos" w:cs="Tinos"/>
          <w:sz w:val="26"/>
          <w:szCs w:val="26"/>
          <w:u w:val="none"/>
          <w:lang w:val="ru-RU"/>
        </w:rPr>
      </w:r>
      <w:hyperlink r:id="rId10" w:tooltip="http://internet.garant.ru/document/redirect/400270474/0" w:history="1">
        <w:r>
          <w:rPr>
            <w:rFonts w:ascii="Tinos" w:hAnsi="Tinos" w:eastAsia="Tinos" w:cs="Tinos"/>
            <w:b/>
            <w:bCs/>
            <w:sz w:val="26"/>
            <w:szCs w:val="26"/>
            <w:u w:val="none"/>
            <w:lang w:val="ru-RU"/>
          </w:rPr>
          <w:t xml:space="preserve">Об</w:t>
        </w:r>
        <w:r>
          <w:rPr>
            <w:rFonts w:ascii="Tinos" w:hAnsi="Tinos" w:eastAsia="Tinos" w:cs="Tinos"/>
            <w:b/>
            <w:bCs/>
            <w:sz w:val="26"/>
            <w:szCs w:val="26"/>
            <w:u w:val="none"/>
            <w:lang w:val="ru-RU"/>
          </w:rPr>
          <w:t xml:space="preserve"> утверждении тарифов на социальные услуги, входящие в перечень социальных услуг, предоставляемых поставщиками социальных услуг в Чувашской Республике</w:t>
        </w:r>
      </w:hyperlink>
      <w:r>
        <w:rPr>
          <w:rFonts w:ascii="Tinos" w:hAnsi="Tinos" w:eastAsia="Tinos" w:cs="Tinos"/>
          <w:sz w:val="26"/>
          <w:szCs w:val="26"/>
          <w:u w:val="none"/>
          <w:lang w:val="ru-RU"/>
          <w14:ligatures w14:val="none"/>
        </w:rPr>
      </w:r>
      <w:r>
        <w:rPr>
          <w:rFonts w:ascii="Tinos" w:hAnsi="Tinos" w:eastAsia="Tinos" w:cs="Tinos"/>
          <w:sz w:val="26"/>
          <w:szCs w:val="26"/>
          <w:u w:val="none"/>
          <w:lang w:val="ru-RU"/>
          <w14:ligatures w14:val="none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sz w:val="26"/>
          <w:u w:val="none"/>
          <w:lang w:val="ru-RU"/>
        </w:rPr>
        <w:t xml:space="preserve">В </w:t>
      </w:r>
      <w:r>
        <w:rPr>
          <w:rFonts w:ascii="Tinos" w:hAnsi="Tinos" w:eastAsia="Tinos" w:cs="Tinos"/>
          <w:sz w:val="26"/>
          <w:szCs w:val="26"/>
          <w:u w:val="none"/>
          <w:lang w:val="ru-RU"/>
        </w:rPr>
        <w:t xml:space="preserve">соответствии с </w:t>
      </w:r>
      <w:hyperlink r:id="rId11" w:tooltip="http://internet.garant.ru/document/redirect/22716382/0" w:history="1">
        <w:r>
          <w:rPr>
            <w:rFonts w:ascii="Tinos" w:hAnsi="Tinos" w:eastAsia="Tinos" w:cs="Tinos"/>
            <w:sz w:val="26"/>
            <w:szCs w:val="26"/>
            <w:u w:val="none"/>
            <w:lang w:val="ru-RU"/>
          </w:rPr>
          <w:t xml:space="preserve">Законом</w:t>
        </w:r>
      </w:hyperlink>
      <w:r>
        <w:rPr>
          <w:rFonts w:ascii="Tinos" w:hAnsi="Tinos" w:eastAsia="Tinos" w:cs="Tinos"/>
          <w:sz w:val="26"/>
          <w:szCs w:val="26"/>
          <w:u w:val="none"/>
          <w:lang w:val="ru-RU"/>
        </w:rPr>
        <w:t xml:space="preserve"> Чувашской Республики «Об утверждении перечня социальных услуг, предоставляемых поставщиками социальных услуг в Чувашской Республике», </w:t>
      </w:r>
      <w:hyperlink r:id="rId12" w:tooltip="http://internet.garant.ru/document/redirect/22716747/0" w:history="1">
        <w:r>
          <w:rPr>
            <w:rFonts w:ascii="Tinos" w:hAnsi="Tinos" w:eastAsia="Tinos" w:cs="Tinos"/>
            <w:sz w:val="26"/>
            <w:szCs w:val="26"/>
            <w:u w:val="none"/>
            <w:lang w:val="ru-RU"/>
          </w:rPr>
          <w:t xml:space="preserve">постановлением</w:t>
        </w:r>
      </w:hyperlink>
      <w:r>
        <w:rPr>
          <w:rFonts w:ascii="Tinos" w:hAnsi="Tinos" w:eastAsia="Tinos" w:cs="Tinos"/>
          <w:sz w:val="26"/>
          <w:szCs w:val="26"/>
          <w:u w:val="none"/>
          <w:lang w:val="ru-RU"/>
        </w:rPr>
        <w:t xml:space="preserve"> Кабинета Министров Чувашской Республики от 25 декабря 2014 г. № 475 «О социальном обслуживании граждан в Чувашской Республике» приказываю:</w:t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u w:val="none"/>
          <w:lang w:val="ru-RU"/>
        </w:rPr>
      </w:r>
      <w:bookmarkStart w:id="1" w:name="sub_1"/>
      <w:r>
        <w:rPr>
          <w:rFonts w:ascii="Tinos" w:hAnsi="Tinos" w:eastAsia="Tinos" w:cs="Tinos"/>
          <w:sz w:val="26"/>
          <w:u w:val="none"/>
          <w:lang w:val="ru-RU"/>
        </w:rPr>
        <w:t xml:space="preserve">1. Утвердить прилагаемые </w:t>
      </w:r>
      <w:hyperlink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тарифы</w:t>
        </w:r>
      </w:hyperlink>
      <w:r>
        <w:rPr>
          <w:rFonts w:ascii="Tinos" w:hAnsi="Tinos" w:eastAsia="Tinos" w:cs="Tinos"/>
          <w:sz w:val="26"/>
          <w:u w:val="none"/>
          <w:lang w:val="ru-RU"/>
        </w:rPr>
        <w:t xml:space="preserve"> на социальные услуги, входящие в перечень социальных услуг, предоставляемых поставщиками социальных услуг в Чувашской Республике.</w:t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u w:val="none"/>
          <w:lang w:val="ru-RU"/>
        </w:rPr>
      </w:r>
      <w:bookmarkStart w:id="2" w:name="sub_2"/>
      <w:r>
        <w:rPr>
          <w:rFonts w:ascii="Tinos" w:hAnsi="Tinos" w:eastAsia="Tinos" w:cs="Tinos"/>
          <w:u w:val="none"/>
          <w:lang w:val="ru-RU"/>
        </w:rPr>
      </w:r>
      <w:bookmarkEnd w:id="1"/>
      <w:r>
        <w:rPr>
          <w:rFonts w:ascii="Tinos" w:hAnsi="Tinos" w:eastAsia="Tinos" w:cs="Tinos"/>
          <w:sz w:val="26"/>
          <w:u w:val="none"/>
          <w:lang w:val="ru-RU"/>
        </w:rPr>
        <w:t xml:space="preserve">2. Признать утратившим силу </w:t>
      </w:r>
      <w:hyperlink r:id="rId13" w:tooltip="http://internet.garant.ru/document/redirect/42517022/0" w:history="1">
        <w:r>
          <w:rPr>
            <w:rFonts w:ascii="Tinos" w:hAnsi="Tinos" w:eastAsia="Tinos" w:cs="Tinos"/>
            <w:sz w:val="26"/>
            <w:u w:val="none"/>
            <w:lang w:val="ru-RU"/>
          </w:rPr>
          <w:t xml:space="preserve">приказ</w:t>
        </w:r>
      </w:hyperlink>
      <w:r>
        <w:rPr>
          <w:rFonts w:ascii="Tinos" w:hAnsi="Tinos" w:eastAsia="Tinos" w:cs="Tinos"/>
          <w:sz w:val="26"/>
          <w:u w:val="none"/>
          <w:lang w:val="ru-RU"/>
        </w:rPr>
        <w:t xml:space="preserve"> Министерства труда и социальной защиты Чувашской Республики от 19 декабря 2023 г. № 379 «Об утверждении тариф</w:t>
      </w:r>
      <w:r>
        <w:rPr>
          <w:rFonts w:ascii="Tinos" w:hAnsi="Tinos" w:eastAsia="Tinos" w:cs="Tinos"/>
          <w:sz w:val="26"/>
          <w:u w:val="none"/>
          <w:lang w:val="ru-RU"/>
        </w:rPr>
        <w:t xml:space="preserve">ов на социальные услуги, входящие в перечень социальных услуг, предоставляемых поставщиками социальных услуг в Чувашской Республике» (зарегистрирован в Государственной службе Чувашской Республики по делам юстиции 15 января 2024 г., регистрационный № 9049).</w:t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u w:val="none"/>
          <w:lang w:val="ru-RU"/>
        </w:rPr>
      </w:r>
      <w:bookmarkStart w:id="3" w:name="sub_3"/>
      <w:r>
        <w:rPr>
          <w:rFonts w:ascii="Tinos" w:hAnsi="Tinos" w:eastAsia="Tinos" w:cs="Tinos"/>
          <w:u w:val="none"/>
          <w:lang w:val="ru-RU"/>
        </w:rPr>
      </w:r>
      <w:bookmarkEnd w:id="2"/>
      <w:r>
        <w:rPr>
          <w:rFonts w:ascii="Tinos" w:hAnsi="Tinos" w:eastAsia="Tinos" w:cs="Tinos"/>
          <w:sz w:val="26"/>
          <w:u w:val="none"/>
          <w:lang w:val="ru-RU"/>
        </w:rPr>
        <w:t xml:space="preserve">3. Контроль за исполнением настоящего приказа возложить на первого заместителя министра труда и социальной защиты Чувашской Республики.</w:t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u w:val="none"/>
          <w:lang w:val="ru-RU"/>
        </w:rPr>
      </w:r>
      <w:bookmarkStart w:id="4" w:name="sub_4"/>
      <w:r>
        <w:rPr>
          <w:rFonts w:ascii="Tinos" w:hAnsi="Tinos" w:eastAsia="Tinos" w:cs="Tinos"/>
          <w:u w:val="none"/>
          <w:lang w:val="ru-RU"/>
        </w:rPr>
      </w:r>
      <w:bookmarkEnd w:id="3"/>
      <w:r>
        <w:rPr>
          <w:rFonts w:ascii="Tinos" w:hAnsi="Tinos" w:eastAsia="Tinos" w:cs="Tinos"/>
          <w:sz w:val="26"/>
          <w:u w:val="none"/>
          <w:lang w:val="ru-RU"/>
        </w:rPr>
        <w:t xml:space="preserve">4. Настоящий приказ вступает в силу через десять дней после дня его </w:t>
      </w:r>
      <w:hyperlink r:id="rId14" w:tooltip="http://internet.garant.ru/document/redirect/400270475/0" w:history="1">
        <w:r>
          <w:rPr>
            <w:rFonts w:ascii="Tinos" w:hAnsi="Tinos" w:eastAsia="Tinos" w:cs="Tinos"/>
            <w:sz w:val="26"/>
            <w:u w:val="none"/>
            <w:lang w:val="ru-RU"/>
          </w:rPr>
          <w:t xml:space="preserve">официального опубликования</w:t>
        </w:r>
      </w:hyperlink>
      <w:r>
        <w:rPr>
          <w:rFonts w:ascii="Tinos" w:hAnsi="Tinos" w:eastAsia="Tinos" w:cs="Tinos"/>
          <w:sz w:val="26"/>
          <w:u w:val="none"/>
          <w:lang w:val="ru-RU"/>
        </w:rPr>
        <w:t xml:space="preserve">.</w:t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u w:val="none"/>
          <w:lang w:val="ru-RU"/>
        </w:rPr>
      </w:r>
      <w:bookmarkEnd w:id="4"/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p>
      <w:pPr>
        <w:pStyle w:val="889"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rPr>
          <w:rFonts w:ascii="Tinos" w:hAnsi="Tinos" w:cs="Tinos"/>
          <w:sz w:val="26"/>
          <w:u w:val="none"/>
          <w:lang w:val="ru-RU"/>
        </w:rPr>
      </w:pPr>
      <w:r>
        <w:rPr>
          <w:rFonts w:ascii="Tinos" w:hAnsi="Tinos" w:eastAsia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  <w:r>
        <w:rPr>
          <w:rFonts w:ascii="Tinos" w:hAnsi="Tinos" w:cs="Tinos"/>
          <w:sz w:val="26"/>
          <w:u w:val="none"/>
          <w:lang w:val="ru-RU"/>
        </w:rPr>
      </w:r>
    </w:p>
    <w:tbl>
      <w:tblPr>
        <w:tblW w:w="4864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373"/>
        <w:gridCol w:w="298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73" w:type="dxa"/>
            <w:vAlign w:val="top"/>
            <w:textDirection w:val="lrTb"/>
            <w:noWrap w:val="false"/>
          </w:tcPr>
          <w:p>
            <w:pPr>
              <w:pStyle w:val="896"/>
              <w:ind w:left="0" w:right="0" w:firstLine="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lang w:val="ru-RU"/>
                <w14:ligatures w14:val="none"/>
              </w:rPr>
            </w:pPr>
            <w:r>
              <w:rPr>
                <w:rFonts w:ascii="Tinos" w:hAnsi="Tinos" w:eastAsia="Tinos" w:cs="Tinos"/>
                <w:sz w:val="26"/>
                <w:szCs w:val="26"/>
                <w:u w:val="none"/>
                <w:lang w:val="ru-RU"/>
              </w:rPr>
              <w:t xml:space="preserve">Министр</w:t>
            </w:r>
            <w:r>
              <w:rPr>
                <w:lang w:val="ru-RU"/>
                <w14:ligatures w14:val="none"/>
              </w:rPr>
            </w:r>
            <w:r>
              <w:rPr>
                <w:lang w:val="ru-RU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82" w:type="dxa"/>
            <w:vAlign w:val="top"/>
            <w:textDirection w:val="lrTb"/>
            <w:noWrap w:val="false"/>
          </w:tcPr>
          <w:p>
            <w:pPr>
              <w:pStyle w:val="896"/>
              <w:ind w:left="0" w:right="-108" w:firstLine="709"/>
              <w:jc w:val="right"/>
              <w:spacing w:before="0" w:after="0" w:line="240" w:lineRule="auto"/>
              <w:shd w:val="clear" w:color="ffffff" w:themeColor="background1" w:fill="ffffff" w:themeFill="background1"/>
              <w:rPr>
                <w:rFonts w:ascii="Tinos" w:hAnsi="Tinos" w:cs="Tinos"/>
                <w:sz w:val="26"/>
                <w:u w:val="none"/>
                <w:lang w:val="ru-RU"/>
              </w:rPr>
            </w:pPr>
            <w:r>
              <w:rPr>
                <w:rFonts w:ascii="Tinos" w:hAnsi="Tinos" w:eastAsia="Tinos" w:cs="Tinos"/>
                <w:sz w:val="26"/>
                <w:u w:val="none"/>
                <w:lang w:val="ru-RU"/>
              </w:rPr>
              <w:t xml:space="preserve">А.Г. Елизарова</w:t>
            </w:r>
            <w:r>
              <w:rPr>
                <w:rFonts w:ascii="Tinos" w:hAnsi="Tinos" w:cs="Tinos"/>
                <w:sz w:val="26"/>
                <w:u w:val="none"/>
                <w:lang w:val="ru-RU"/>
              </w:rPr>
            </w:r>
            <w:r>
              <w:rPr>
                <w:rFonts w:ascii="Tinos" w:hAnsi="Tinos" w:cs="Tinos"/>
                <w:sz w:val="26"/>
                <w:u w:val="none"/>
                <w:lang w:val="ru-RU"/>
              </w:rPr>
            </w:r>
          </w:p>
        </w:tc>
      </w:tr>
    </w:tbl>
    <w:p>
      <w:pPr>
        <w:pStyle w:val="889"/>
        <w:ind w:left="0" w:firstLine="709"/>
        <w:jc w:val="both"/>
        <w:spacing w:before="0" w:after="0" w:line="240" w:lineRule="auto"/>
        <w:rPr>
          <w:rFonts w:ascii="Tinos" w:hAnsi="Tinos" w:eastAsia="Tinos" w:cs="Tinos"/>
          <w:sz w:val="26"/>
        </w:rPr>
      </w:pPr>
      <w:r>
        <w:rPr>
          <w:rFonts w:ascii="Tinos" w:hAnsi="Tinos" w:eastAsia="Tinos" w:cs="Tinos"/>
          <w:sz w:val="26"/>
        </w:rPr>
      </w:r>
      <w:r>
        <w:rPr>
          <w:rFonts w:ascii="Tinos" w:hAnsi="Tinos" w:eastAsia="Tinos" w:cs="Tinos"/>
          <w:sz w:val="26"/>
        </w:rPr>
      </w:r>
      <w:r>
        <w:rPr>
          <w:rFonts w:ascii="Tinos" w:hAnsi="Tinos" w:eastAsia="Tinos" w:cs="Tinos"/>
          <w:sz w:val="26"/>
        </w:rPr>
      </w:r>
    </w:p>
    <w:p>
      <w:pPr>
        <w:pStyle w:val="889"/>
        <w:ind w:left="0" w:firstLine="709"/>
        <w:jc w:val="right"/>
        <w:spacing w:before="0" w:after="0" w:line="240" w:lineRule="auto"/>
        <w:rPr>
          <w:rFonts w:ascii="Tinos" w:hAnsi="Tinos" w:eastAsia="Tinos" w:cs="Tinos"/>
          <w:b/>
          <w:color w:val="26282f"/>
          <w:sz w:val="26"/>
        </w:rPr>
      </w:pPr>
      <w:r/>
      <w:bookmarkStart w:id="5" w:name="sub_1000"/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</w:p>
    <w:p>
      <w:pPr>
        <w:pStyle w:val="889"/>
        <w:ind w:left="0" w:firstLine="709"/>
        <w:jc w:val="right"/>
        <w:spacing w:before="0" w:after="0" w:line="240" w:lineRule="auto"/>
        <w:rPr>
          <w:rFonts w:ascii="Tinos" w:hAnsi="Tinos" w:eastAsia="Tinos" w:cs="Tinos"/>
          <w:b/>
          <w:color w:val="26282f"/>
          <w:sz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</w:p>
    <w:p>
      <w:pPr>
        <w:pStyle w:val="889"/>
        <w:ind w:left="426" w:firstLine="0"/>
        <w:jc w:val="right"/>
        <w:spacing w:before="0" w:after="0" w:line="240" w:lineRule="auto"/>
        <w:rPr>
          <w:rFonts w:ascii="Tinos" w:hAnsi="Tinos" w:eastAsia="Tinos" w:cs="Tinos"/>
          <w:b/>
          <w:color w:val="26282f"/>
          <w:sz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</w:p>
    <w:p>
      <w:pPr>
        <w:pStyle w:val="889"/>
        <w:ind w:left="426" w:firstLine="0"/>
        <w:jc w:val="right"/>
        <w:spacing w:before="0" w:after="0" w:line="240" w:lineRule="auto"/>
        <w:rPr>
          <w:rFonts w:ascii="Tinos" w:hAnsi="Tinos" w:eastAsia="Tinos" w:cs="Tinos"/>
          <w:b/>
          <w:color w:val="26282f"/>
          <w:sz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</w:p>
    <w:p>
      <w:pPr>
        <w:ind w:left="426" w:firstLine="0"/>
        <w:jc w:val="right"/>
        <w:spacing w:before="0" w:after="0" w:line="240" w:lineRule="auto"/>
        <w:rPr>
          <w:rFonts w:ascii="Tinos" w:hAnsi="Tinos" w:eastAsia="Tinos" w:cs="Tinos"/>
          <w:b/>
          <w:bCs/>
          <w:color w:val="26282f"/>
          <w:sz w:val="26"/>
          <w:szCs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</w:p>
    <w:p>
      <w:pPr>
        <w:ind w:left="426" w:firstLine="0"/>
        <w:jc w:val="right"/>
        <w:spacing w:before="0" w:after="0" w:line="240" w:lineRule="auto"/>
        <w:rPr>
          <w:rFonts w:ascii="Tinos" w:hAnsi="Tinos" w:eastAsia="Tinos" w:cs="Tinos"/>
          <w:b/>
          <w:bCs/>
          <w:color w:val="26282f"/>
          <w:sz w:val="26"/>
          <w:szCs w:val="26"/>
        </w:rPr>
      </w:pP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</w:p>
    <w:p>
      <w:pPr>
        <w:pStyle w:val="889"/>
        <w:ind w:left="426" w:firstLine="0"/>
        <w:jc w:val="right"/>
        <w:spacing w:before="0" w:after="0" w:line="240" w:lineRule="auto"/>
        <w:rPr>
          <w:rFonts w:ascii="Tinos" w:hAnsi="Tinos" w:eastAsia="Tinos" w:cs="Tinos"/>
          <w:b/>
          <w:bCs/>
          <w:color w:val="26282f"/>
          <w:sz w:val="26"/>
          <w:szCs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  <w:r>
        <w:rPr>
          <w:rFonts w:ascii="Tinos" w:hAnsi="Tinos" w:eastAsia="Tinos" w:cs="Tinos"/>
          <w:b/>
          <w:bCs/>
          <w:color w:val="26282f"/>
          <w:sz w:val="26"/>
          <w:szCs w:val="26"/>
        </w:rPr>
      </w:r>
    </w:p>
    <w:p>
      <w:pPr>
        <w:pStyle w:val="889"/>
        <w:ind w:left="0" w:firstLine="0"/>
        <w:jc w:val="left"/>
        <w:spacing w:before="0" w:after="0" w:line="240" w:lineRule="auto"/>
        <w:rPr>
          <w:rFonts w:ascii="Tinos" w:hAnsi="Tinos" w:eastAsia="Tinos" w:cs="Tinos"/>
          <w:b/>
          <w:color w:val="26282f"/>
          <w:sz w:val="26"/>
        </w:rPr>
      </w:pP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  <w:r>
        <w:rPr>
          <w:rFonts w:ascii="Tinos" w:hAnsi="Tinos" w:eastAsia="Tinos" w:cs="Tinos"/>
          <w:b/>
          <w:color w:val="26282f"/>
          <w:sz w:val="26"/>
        </w:rPr>
      </w:r>
    </w:p>
    <w:p>
      <w:pPr>
        <w:ind w:left="426" w:firstLine="0"/>
        <w:jc w:val="right"/>
        <w:spacing w:before="0" w:after="0" w:line="240" w:lineRule="auto"/>
        <w:rPr>
          <w:rFonts w:ascii="Tinos" w:hAnsi="Tinos" w:eastAsia="Tinos" w:cs="Tinos"/>
          <w:sz w:val="26"/>
          <w:lang w:val="ru-RU"/>
        </w:rPr>
      </w:pPr>
      <w:r>
        <w:rPr>
          <w:rFonts w:ascii="Tinos" w:hAnsi="Tinos" w:eastAsia="Tinos" w:cs="Tinos"/>
          <w:b w:val="0"/>
          <w:color w:val="26282f"/>
          <w:sz w:val="26"/>
          <w:lang w:val="ru-RU"/>
        </w:rPr>
        <w:t xml:space="preserve">Утверждены</w:t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br/>
      </w:r>
      <w:r>
        <w:rPr>
          <w:rFonts w:ascii="Tinos" w:hAnsi="Tinos" w:eastAsia="Tinos" w:cs="Tinos"/>
          <w:b w:val="0"/>
          <w:bCs w:val="0"/>
          <w:color w:val="26282f"/>
          <w:sz w:val="26"/>
          <w:szCs w:val="26"/>
          <w:lang w:val="ru-RU"/>
        </w:rPr>
        <w:t xml:space="preserve">п</w:t>
      </w:r>
      <w:r>
        <w:rPr>
          <w:rFonts w:ascii="Tinos" w:hAnsi="Tinos" w:eastAsia="Tinos" w:cs="Tinos"/>
          <w:b w:val="0"/>
          <w:bCs w:val="0"/>
          <w:color w:val="26282f"/>
          <w:sz w:val="26"/>
          <w:szCs w:val="26"/>
          <w:lang w:val="ru-RU"/>
        </w:rPr>
        <w:t xml:space="preserve">риказом</w:t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t xml:space="preserve">  Министерства труда</w:t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br/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t xml:space="preserve">и социальной защиты</w:t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br/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t xml:space="preserve">Чувашской Республики</w:t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br/>
      </w:r>
      <w:r>
        <w:rPr>
          <w:rFonts w:ascii="Tinos" w:hAnsi="Tinos" w:eastAsia="Tinos" w:cs="Tinos"/>
          <w:b w:val="0"/>
          <w:color w:val="26282f"/>
          <w:sz w:val="26"/>
          <w:lang w:val="ru-RU"/>
        </w:rPr>
        <w:t xml:space="preserve">от __________ 2024 г. №  _____</w:t>
      </w:r>
      <w:r>
        <w:rPr>
          <w:rFonts w:ascii="Tinos" w:hAnsi="Tinos" w:eastAsia="Tinos" w:cs="Tinos"/>
          <w:sz w:val="26"/>
          <w:lang w:val="ru-RU"/>
        </w:rPr>
      </w:r>
      <w:r>
        <w:rPr>
          <w:rFonts w:ascii="Tinos" w:hAnsi="Tinos" w:eastAsia="Tinos" w:cs="Tinos"/>
          <w:sz w:val="26"/>
          <w:lang w:val="ru-RU"/>
        </w:rPr>
      </w:r>
    </w:p>
    <w:p>
      <w:pPr>
        <w:pStyle w:val="889"/>
        <w:ind w:left="426" w:firstLine="720"/>
        <w:jc w:val="both"/>
        <w:spacing w:before="0" w:after="0" w:line="240" w:lineRule="auto"/>
        <w:rPr>
          <w:rFonts w:ascii="Tinos" w:hAnsi="Tinos" w:eastAsia="Tinos" w:cs="Tinos"/>
          <w:sz w:val="26"/>
          <w:lang w:val="ru-RU"/>
        </w:rPr>
      </w:pPr>
      <w:r>
        <w:rPr>
          <w:lang w:val="ru-RU"/>
        </w:rPr>
      </w:r>
      <w:bookmarkEnd w:id="5"/>
      <w:r>
        <w:rPr>
          <w:rFonts w:ascii="Tinos" w:hAnsi="Tinos" w:eastAsia="Tinos" w:cs="Tinos"/>
          <w:sz w:val="26"/>
          <w:lang w:val="ru-RU"/>
        </w:rPr>
      </w:r>
      <w:r>
        <w:rPr>
          <w:rFonts w:ascii="Tinos" w:hAnsi="Tinos" w:eastAsia="Tinos" w:cs="Tinos"/>
          <w:sz w:val="26"/>
          <w:lang w:val="ru-RU"/>
        </w:rPr>
      </w:r>
    </w:p>
    <w:p>
      <w:pPr>
        <w:pStyle w:val="890"/>
        <w:ind w:left="0" w:firstLine="0"/>
        <w:jc w:val="center"/>
        <w:spacing w:before="108" w:after="108" w:line="240" w:lineRule="auto"/>
        <w:rPr>
          <w:rFonts w:ascii="Tinos" w:hAnsi="Tinos" w:eastAsia="Tinos" w:cs="Tinos"/>
          <w:b w:val="0"/>
          <w:color w:val="000000"/>
          <w:sz w:val="26"/>
          <w:lang w:val="ru-RU"/>
        </w:rPr>
        <w:outlineLvl w:val="0"/>
      </w:pPr>
      <w:r>
        <w:rPr>
          <w:rFonts w:ascii="Tinos" w:hAnsi="Tinos" w:eastAsia="Tinos" w:cs="Tinos"/>
          <w:b w:val="0"/>
          <w:color w:val="000000"/>
          <w:sz w:val="26"/>
          <w:lang w:val="ru-RU"/>
        </w:rPr>
        <w:t xml:space="preserve">Тарифы</w:t>
      </w:r>
      <w:r>
        <w:rPr>
          <w:rFonts w:ascii="Tinos" w:hAnsi="Tinos" w:eastAsia="Tinos" w:cs="Tinos"/>
          <w:b w:val="0"/>
          <w:color w:val="000000"/>
          <w:sz w:val="26"/>
          <w:lang w:val="ru-RU"/>
        </w:rPr>
        <w:br/>
      </w:r>
      <w:r>
        <w:rPr>
          <w:rFonts w:ascii="Tinos" w:hAnsi="Tinos" w:eastAsia="Tinos" w:cs="Tinos"/>
          <w:b w:val="0"/>
          <w:color w:val="000000"/>
          <w:sz w:val="26"/>
          <w:lang w:val="ru-RU"/>
        </w:rPr>
        <w:t xml:space="preserve">на социальные услуги, входящие в перечень социальных услуг, предоставляемых поставщиками социальных услуг в Чувашской Республике</w:t>
      </w:r>
      <w:r>
        <w:rPr>
          <w:rFonts w:ascii="Tinos" w:hAnsi="Tinos" w:eastAsia="Tinos" w:cs="Tinos"/>
          <w:b w:val="0"/>
          <w:color w:val="000000"/>
          <w:sz w:val="26"/>
          <w:lang w:val="ru-RU"/>
        </w:rPr>
      </w:r>
      <w:r>
        <w:rPr>
          <w:rFonts w:ascii="Tinos" w:hAnsi="Tinos" w:eastAsia="Tinos" w:cs="Tinos"/>
          <w:b w:val="0"/>
          <w:color w:val="000000"/>
          <w:sz w:val="26"/>
          <w:lang w:val="ru-RU"/>
        </w:rPr>
      </w:r>
    </w:p>
    <w:p>
      <w:pPr>
        <w:pStyle w:val="889"/>
        <w:ind w:left="426" w:firstLine="720"/>
        <w:jc w:val="both"/>
        <w:spacing w:before="0" w:after="0" w:line="240" w:lineRule="auto"/>
        <w:rPr>
          <w:rFonts w:ascii="Tinos" w:hAnsi="Tinos" w:eastAsia="Tinos" w:cs="Tinos"/>
          <w:sz w:val="26"/>
          <w:lang w:val="ru-RU"/>
        </w:rPr>
      </w:pPr>
      <w:r>
        <w:rPr>
          <w:rFonts w:ascii="Tinos" w:hAnsi="Tinos" w:eastAsia="Tinos" w:cs="Tinos"/>
          <w:sz w:val="26"/>
          <w:lang w:val="ru-RU"/>
        </w:rPr>
      </w:r>
      <w:r>
        <w:rPr>
          <w:rFonts w:ascii="Tinos" w:hAnsi="Tinos" w:eastAsia="Tinos" w:cs="Tinos"/>
          <w:sz w:val="26"/>
          <w:lang w:val="ru-RU"/>
        </w:rPr>
      </w:r>
      <w:r>
        <w:rPr>
          <w:rFonts w:ascii="Tinos" w:hAnsi="Tinos" w:eastAsia="Tinos" w:cs="Tinos"/>
          <w:sz w:val="26"/>
          <w:lang w:val="ru-RU"/>
        </w:rPr>
      </w:r>
    </w:p>
    <w:tbl>
      <w:tblPr>
        <w:tblW w:w="9639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92"/>
        <w:gridCol w:w="5350"/>
        <w:gridCol w:w="1720"/>
        <w:gridCol w:w="157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№ п/п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Наименование услуг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Единица измерения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Стоимость услуги (руб.)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2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3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4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1. Социально-бытовые услуги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center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1.1. Социальные услуги, предоставляемые в полустационарной или стационарной формах социального обслуживания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1.1.1.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  <w:t xml:space="preserve">обеспечение площадью жилых помещений в соответствии с утвержденными нормативами (1 сутки):</w:t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both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both"/>
              <w:spacing w:before="0" w:after="0" w:line="240" w:lineRule="auto"/>
              <w:rPr>
                <w:rFonts w:ascii="Tinos" w:hAnsi="Tinos" w:eastAsia="Tinos" w:cs="Tinos"/>
                <w:sz w:val="26"/>
                <w:lang w:val="ru-RU"/>
              </w:rPr>
            </w:pP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  <w:r>
              <w:rPr>
                <w:rFonts w:ascii="Tinos" w:hAnsi="Tinos" w:eastAsia="Tinos" w:cs="Tinos"/>
                <w:sz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круглосуточное пребывание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сутки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346,74</w:t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дневное пребывание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в сутки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115,54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ночное пребывание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в сутки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173,31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обеспечение питанием: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6"/>
              <w:ind w:left="42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0,00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при стационарном обслуживании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сутки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210,75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при полустационарном обслуживании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сутки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46,97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обеспечение мягким инвентарем (одеждой, обувью, нательным бельем и постельными принадлежностями)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1.1.9.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обеспечение за счет средств получателя социальных услуг книгами, журналами, газетами, настольными играми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1.1.10.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написании писем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-3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1.1.11.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создание условий для отправления религиозных обрядов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153,72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 Социальные услуги, предоставляемые в форме социального обслуживания на дому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 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помощь в приготовлении пищи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153,72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оплата за счет средств получателя социальных услуг жилищно-коммунальных услуг и услуг связи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сдача за счет средств получателя социальных услуг вещей в стирку, химчистку, ремонт, обратная их доставка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организация помощи в проведении ремонта жилых помещений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обеспечение кратковременного присмотра за детьми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153,72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1.2.8.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уборка жилых помещений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153,72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1.3. Социальные услуги, предоставляемые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1.3.1.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1.3.2.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отправка за счет средств получателя социальных услуг почтовой корреспонденции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 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1.3.3.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помощь в приеме пищи (кормление)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76,85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 Социально-медицинские услуги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содействия в проведении оздоровительных мероприятий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систематическое наблюдение за получателями социальных услуг для выявления отклонений в состоянии их здоровья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8</w:t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highlight w:val="white"/>
                <w:lang w:val="ru-RU"/>
              </w:rPr>
              <w:t xml:space="preserve">,</w:t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highlight w:val="white"/>
                <w:lang w:val="ru-RU"/>
              </w:rPr>
              <w:t xml:space="preserve">56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проведения оздоровительных мероприятий, выявление отклонений в состоянии их здоровья)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проведение мероприятий, направленных на формирование здорового образа жизни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176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2.6.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проведений занятий по адаптивной физической культуре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25,66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3. Социально-психологические услуги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3.1.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социально-психологическое консультирование (в том числе по вопросам внутрисемейных отношений)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34,21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3.2.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социально-психологический патронаж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34,21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3.3.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консультационной психологической помощи анонимно (в том числе с использованием телефона доверия)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34,21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 Социально-педагогические услуги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организация помощи родителям и иным законным представителям детей-инвалидов, воспитываемых дома, в обучении таких детей навыкам самообслуживания, общения, направленных на развитие личности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76,85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социально-педагогическая коррекция, включая диагностику и консультирование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формирование позитивных интересов (в том числе в сфере досуга)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34,21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4.5.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организация досуга (праздники, экскурсии и другие культурные мероприятия)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153,72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5. Социально-трудовые услуги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5.1.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проведение мероприятий по использованию трудовых возможностей и обучению доступным профессиональным навыкам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76,85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5.2.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трудоустройстве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59,74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5.3.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организация помощи в получении образования, в том числе профессионального образования инвалидами (детьми-инвалидами) в соответствии с их способностями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76,85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6. Социально-правовые услуги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6.1.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6.2.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получении юридических услуг (в том числе бесплатно)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6.3.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защите прав и законных интересов получателей социальных услуг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6"/>
              <w:ind w:lef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детей-инвалидов, во всех формах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7.1.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76,85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7.2.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проведение социально-реабилитационных мероприятий в сфере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7.3.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обучение навыкам поведения в быту и общественных местах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72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51,19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896"/>
              <w:ind w:left="34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7.4.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0" w:type="dxa"/>
            <w:vAlign w:val="top"/>
            <w:textDirection w:val="lrTb"/>
            <w:noWrap w:val="false"/>
          </w:tcPr>
          <w:p>
            <w:pPr>
              <w:pStyle w:val="897"/>
              <w:ind w:lef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оказание помощи в обучении навыкам компьютерной грамотности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0" w:type="dxa"/>
            <w:vAlign w:val="top"/>
            <w:textDirection w:val="lrTb"/>
            <w:noWrap w:val="false"/>
          </w:tcPr>
          <w:p>
            <w:pPr>
              <w:pStyle w:val="897"/>
              <w:ind w:left="426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/>
              </w:rPr>
              <w:t xml:space="preserve">1 услуга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7" w:type="dxa"/>
            <w:vAlign w:val="top"/>
            <w:textDirection w:val="lrTb"/>
            <w:noWrap w:val="false"/>
          </w:tcPr>
          <w:p>
            <w:pPr>
              <w:pStyle w:val="889"/>
              <w:ind w:lef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6"/>
                <w:szCs w:val="26"/>
                <w:lang w:val="ru-RU"/>
              </w:rPr>
              <w:t xml:space="preserve">102,53 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</w:tbl>
    <w:p>
      <w:pPr>
        <w:pStyle w:val="889"/>
        <w:ind w:left="0" w:firstLine="0"/>
        <w:jc w:val="center"/>
        <w:spacing w:before="0" w:after="0" w:line="240" w:lineRule="auto"/>
        <w:tabs>
          <w:tab w:val="left" w:pos="3724" w:leader="none"/>
        </w:tabs>
        <w:rPr>
          <w:rFonts w:ascii="Tinos" w:hAnsi="Tinos" w:cs="Tinos"/>
          <w:sz w:val="26"/>
          <w:szCs w:val="26"/>
          <w:highlight w:val="none"/>
        </w:rPr>
      </w:pPr>
      <w:r>
        <w:rPr>
          <w:rFonts w:ascii="Tinos" w:hAnsi="Tinos" w:eastAsia="Tinos" w:cs="Tinos"/>
          <w:sz w:val="26"/>
          <w:szCs w:val="26"/>
          <w:lang w:val="ru-RU"/>
        </w:rPr>
      </w:r>
      <w:r>
        <w:rPr>
          <w:rFonts w:ascii="Tinos" w:hAnsi="Tinos" w:cs="Tinos"/>
          <w:sz w:val="26"/>
          <w:szCs w:val="26"/>
        </w:rPr>
        <w:t xml:space="preserve"> </w:t>
      </w:r>
      <w:r>
        <w:rPr>
          <w:rFonts w:ascii="Tinos" w:hAnsi="Tinos" w:cs="Tinos"/>
          <w:sz w:val="26"/>
          <w:szCs w:val="26"/>
          <w:highlight w:val="none"/>
        </w:rPr>
      </w:r>
      <w:r>
        <w:rPr>
          <w:rFonts w:ascii="Tinos" w:hAnsi="Tinos" w:cs="Tinos"/>
          <w:sz w:val="26"/>
          <w:szCs w:val="26"/>
          <w:highlight w:val="none"/>
        </w:rPr>
      </w:r>
    </w:p>
    <w:p>
      <w:pPr>
        <w:ind w:left="0" w:firstLine="0"/>
        <w:jc w:val="center"/>
        <w:spacing w:before="0" w:after="0" w:line="240" w:lineRule="auto"/>
        <w:tabs>
          <w:tab w:val="left" w:pos="3724" w:leader="none"/>
        </w:tabs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  <w:highlight w:val="none"/>
        </w:rPr>
        <w:t xml:space="preserve">_____________________________</w:t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sectPr>
      <w:footerReference w:type="default" r:id="rId9"/>
      <w:footnotePr>
        <w:pos w:val="pageBottom"/>
      </w:footnotePr>
      <w:endnotePr/>
      <w:type w:val="nextPage"/>
      <w:pgSz w:w="11900" w:h="16800" w:orient="portrait"/>
      <w:pgMar w:top="1134" w:right="800" w:bottom="851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  <w:endnote w:type="continuationSeparator" w:id="0"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ahoma">
    <w:panose1 w:val="020B0604030504040204"/>
  </w:font>
  <w:font w:name="Calibri">
    <w:panose1 w:val="020F0502020204030204"/>
  </w:font>
  <w:font w:name="CalibriLight">
    <w:panose1 w:val="02000603000000000000"/>
  </w:font>
  <w:font w:name="TimesNewRoman">
    <w:panose1 w:val="02000603000000000000"/>
  </w:font>
  <w:font w:name="TimesNewRomanCYR">
    <w:panose1 w:val="02000603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35"/>
      <w:gridCol w:w="3132"/>
      <w:gridCol w:w="3132"/>
    </w:tblGrid>
    <w:tr>
      <w:tblPrEx/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35" w:type="dxa"/>
          <w:vAlign w:val="top"/>
          <w:textDirection w:val="lrTb"/>
          <w:noWrap w:val="false"/>
        </w:tcPr>
        <w:p>
          <w:pPr>
            <w:pStyle w:val="889"/>
            <w:ind w:left="0" w:firstLine="0"/>
            <w:jc w:val="left"/>
            <w:spacing w:before="0" w:after="0" w:line="240" w:lineRule="auto"/>
            <w:rPr>
              <w:rFonts w:ascii="TimesNewRoman" w:hAnsi="TimesNewRoman" w:eastAsia="TimesNewRoman" w:cs="TimesNewRoman"/>
              <w:sz w:val="20"/>
            </w:rPr>
          </w:pP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32" w:type="dxa"/>
          <w:vAlign w:val="top"/>
          <w:textDirection w:val="lrTb"/>
          <w:noWrap w:val="false"/>
        </w:tcPr>
        <w:p>
          <w:pPr>
            <w:pStyle w:val="889"/>
            <w:ind w:left="0" w:firstLine="0"/>
            <w:jc w:val="center"/>
            <w:spacing w:before="0" w:after="0" w:line="240" w:lineRule="auto"/>
            <w:rPr>
              <w:rFonts w:ascii="TimesNewRoman" w:hAnsi="TimesNewRoman" w:eastAsia="TimesNewRoman" w:cs="TimesNewRoman"/>
              <w:sz w:val="20"/>
            </w:rPr>
          </w:pP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32" w:type="dxa"/>
          <w:vAlign w:val="top"/>
          <w:textDirection w:val="lrTb"/>
          <w:noWrap w:val="false"/>
        </w:tcPr>
        <w:p>
          <w:pPr>
            <w:pStyle w:val="889"/>
            <w:ind w:left="0" w:firstLine="0"/>
            <w:jc w:val="right"/>
            <w:spacing w:before="0" w:after="0" w:line="240" w:lineRule="auto"/>
            <w:rPr>
              <w:rFonts w:ascii="TimesNewRoman" w:hAnsi="TimesNewRoman" w:eastAsia="TimesNewRoman" w:cs="TimesNewRoman"/>
              <w:sz w:val="20"/>
            </w:rPr>
          </w:pP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  <w:r>
            <w:rPr>
              <w:rFonts w:ascii="TimesNewRoman" w:hAnsi="TimesNewRoman" w:eastAsia="TimesNewRoman" w:cs="TimesNewRoman"/>
              <w:sz w:val="20"/>
            </w:rPr>
          </w:r>
        </w:p>
      </w:tc>
    </w:tr>
  </w:tbl>
  <w:p>
    <w:pPr>
      <w:pStyle w:val="889"/>
      <w:ind w:left="0" w:firstLine="720"/>
      <w:jc w:val="left"/>
      <w:spacing w:before="0" w:after="0" w:line="240" w:lineRule="auto"/>
      <w:rPr>
        <w:rFonts w:ascii="TimesNewRoman" w:hAnsi="TimesNewRoman" w:eastAsia="TimesNewRoman" w:cs="TimesNewRoman"/>
        <w:sz w:val="24"/>
      </w:rPr>
    </w:pP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  <w:r>
      <w:rPr>
        <w:rFonts w:ascii="TimesNewRoman" w:hAnsi="TimesNewRoman" w:eastAsia="TimesNewRoman" w:cs="TimesNewRoman"/>
        <w:sz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  <w:footnote w:type="continuationSeparator" w:id="0">
    <w:p>
      <w:pPr>
        <w:pStyle w:val="889"/>
        <w:ind w:left="0" w:firstLine="720"/>
        <w:jc w:val="both"/>
        <w:spacing w:before="0" w:after="0" w:line="240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</w:rPr>
        <w:continuation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hanging="360"/>
      </w:pPr>
    </w:lvl>
    <w:lvl w:ilvl="1">
      <w:start w:val="0"/>
      <w:numFmt w:val="decimal"/>
      <w:isLgl w:val="false"/>
      <w:suff w:val="tab"/>
      <w:lvlText w:val="o"/>
      <w:lvlJc w:val="left"/>
      <w:pPr>
        <w:ind w:left="0"/>
      </w:pPr>
    </w:lvl>
    <w:lvl w:ilvl="2">
      <w:start w:val="0"/>
      <w:numFmt w:val="decimal"/>
      <w:isLgl w:val="false"/>
      <w:suff w:val="tab"/>
      <w:lvlText w:val="§"/>
      <w:lvlJc w:val="left"/>
      <w:pPr>
        <w:ind w:left="0"/>
      </w:pPr>
    </w:lvl>
    <w:lvl w:ilvl="3">
      <w:start w:val="0"/>
      <w:numFmt w:val="decimal"/>
      <w:isLgl w:val="false"/>
      <w:suff w:val="tab"/>
      <w:lvlText w:val="·"/>
      <w:lvlJc w:val="left"/>
      <w:pPr>
        <w:ind w:left="0"/>
      </w:pPr>
    </w:lvl>
    <w:lvl w:ilvl="4">
      <w:start w:val="0"/>
      <w:numFmt w:val="decimal"/>
      <w:isLgl w:val="false"/>
      <w:suff w:val="tab"/>
      <w:lvlText w:val="o"/>
      <w:lvlJc w:val="left"/>
      <w:pPr>
        <w:ind w:left="0"/>
      </w:pPr>
    </w:lvl>
    <w:lvl w:ilvl="5">
      <w:start w:val="0"/>
      <w:numFmt w:val="decimal"/>
      <w:isLgl w:val="false"/>
      <w:suff w:val="tab"/>
      <w:lvlText w:val="§"/>
      <w:lvlJc w:val="left"/>
      <w:pPr>
        <w:ind w:left="0"/>
      </w:pPr>
    </w:lvl>
    <w:lvl w:ilvl="6">
      <w:start w:val="0"/>
      <w:numFmt w:val="decimal"/>
      <w:isLgl w:val="false"/>
      <w:suff w:val="tab"/>
      <w:lvlText w:val="·"/>
      <w:lvlJc w:val="left"/>
      <w:pPr>
        <w:ind w:left="0"/>
      </w:pPr>
    </w:lvl>
    <w:lvl w:ilvl="7">
      <w:start w:val="0"/>
      <w:numFmt w:val="decimal"/>
      <w:isLgl w:val="false"/>
      <w:suff w:val="tab"/>
      <w:lvlText w:val="o"/>
      <w:lvlJc w:val="left"/>
      <w:pPr>
        <w:ind w:left="0"/>
      </w:pPr>
    </w:lvl>
    <w:lvl w:ilvl="8">
      <w:start w:val="0"/>
      <w:numFmt w:val="decimal"/>
      <w:isLgl w:val="false"/>
      <w:suff w:val="tab"/>
      <w:lvlText w:val="§"/>
      <w:lvlJc w:val="left"/>
      <w:pPr>
        <w:ind w:left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eachSect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4">
    <w:name w:val="Heading 1 Char"/>
    <w:basedOn w:val="891"/>
    <w:rPr>
      <w:rFonts w:ascii="Arial" w:hAnsi="Arial" w:eastAsia="Arial" w:cs="Arial"/>
      <w:sz w:val="40"/>
    </w:rPr>
  </w:style>
  <w:style w:type="paragraph" w:styleId="715">
    <w:name w:val="Heading 2"/>
    <w:basedOn w:val="889"/>
    <w:unhideWhenUsed/>
    <w:qFormat/>
    <w:pPr>
      <w:jc w:val="left"/>
      <w:keepLines/>
      <w:keepNext/>
      <w:spacing w:before="360" w:after="200" w:line="240" w:lineRule="auto"/>
      <w:outlineLvl w:val="1"/>
    </w:pPr>
    <w:rPr>
      <w:rFonts w:ascii="Arial" w:hAnsi="Arial" w:eastAsia="Arial" w:cs="Arial"/>
      <w:sz w:val="34"/>
    </w:rPr>
  </w:style>
  <w:style w:type="character" w:styleId="716">
    <w:name w:val="Heading 2 Char"/>
    <w:basedOn w:val="891"/>
    <w:rPr>
      <w:rFonts w:ascii="Arial" w:hAnsi="Arial" w:eastAsia="Arial" w:cs="Arial"/>
      <w:sz w:val="34"/>
    </w:rPr>
  </w:style>
  <w:style w:type="paragraph" w:styleId="717">
    <w:name w:val="Heading 3"/>
    <w:basedOn w:val="889"/>
    <w:unhideWhenUsed/>
    <w:qFormat/>
    <w:pPr>
      <w:jc w:val="left"/>
      <w:keepLines/>
      <w:keepNext/>
      <w:spacing w:before="320" w:after="200" w:line="240" w:lineRule="auto"/>
      <w:outlineLvl w:val="2"/>
    </w:pPr>
    <w:rPr>
      <w:rFonts w:ascii="Arial" w:hAnsi="Arial" w:eastAsia="Arial" w:cs="Arial"/>
      <w:sz w:val="30"/>
    </w:rPr>
  </w:style>
  <w:style w:type="character" w:styleId="718">
    <w:name w:val="Heading 3 Char"/>
    <w:basedOn w:val="891"/>
    <w:rPr>
      <w:rFonts w:ascii="Arial" w:hAnsi="Arial" w:eastAsia="Arial" w:cs="Arial"/>
      <w:sz w:val="30"/>
    </w:rPr>
  </w:style>
  <w:style w:type="paragraph" w:styleId="719">
    <w:name w:val="Heading 4"/>
    <w:basedOn w:val="889"/>
    <w:unhideWhenUsed/>
    <w:qFormat/>
    <w:pPr>
      <w:jc w:val="left"/>
      <w:keepLines/>
      <w:keepNext/>
      <w:spacing w:before="320" w:after="200" w:line="240" w:lineRule="auto"/>
      <w:outlineLvl w:val="3"/>
    </w:pPr>
    <w:rPr>
      <w:rFonts w:ascii="Arial" w:hAnsi="Arial" w:eastAsia="Arial" w:cs="Arial"/>
      <w:b/>
      <w:sz w:val="26"/>
    </w:rPr>
  </w:style>
  <w:style w:type="character" w:styleId="720">
    <w:name w:val="Heading 4 Char"/>
    <w:basedOn w:val="891"/>
    <w:rPr>
      <w:rFonts w:ascii="Arial" w:hAnsi="Arial" w:eastAsia="Arial" w:cs="Arial"/>
      <w:b/>
      <w:sz w:val="26"/>
    </w:rPr>
  </w:style>
  <w:style w:type="paragraph" w:styleId="721">
    <w:name w:val="Heading 5"/>
    <w:basedOn w:val="889"/>
    <w:unhideWhenUsed/>
    <w:qFormat/>
    <w:pPr>
      <w:jc w:val="left"/>
      <w:keepLines/>
      <w:keepNext/>
      <w:spacing w:before="320" w:after="200" w:line="240" w:lineRule="auto"/>
      <w:outlineLvl w:val="4"/>
    </w:pPr>
    <w:rPr>
      <w:rFonts w:ascii="Arial" w:hAnsi="Arial" w:eastAsia="Arial" w:cs="Arial"/>
      <w:b/>
      <w:sz w:val="24"/>
    </w:rPr>
  </w:style>
  <w:style w:type="character" w:styleId="722">
    <w:name w:val="Heading 5 Char"/>
    <w:basedOn w:val="891"/>
    <w:rPr>
      <w:rFonts w:ascii="Arial" w:hAnsi="Arial" w:eastAsia="Arial" w:cs="Arial"/>
      <w:b/>
      <w:sz w:val="24"/>
    </w:rPr>
  </w:style>
  <w:style w:type="paragraph" w:styleId="723">
    <w:name w:val="Heading 6"/>
    <w:basedOn w:val="889"/>
    <w:unhideWhenUsed/>
    <w:qFormat/>
    <w:pPr>
      <w:jc w:val="left"/>
      <w:keepLines/>
      <w:keepNext/>
      <w:spacing w:before="320" w:after="200" w:line="240" w:lineRule="auto"/>
      <w:outlineLvl w:val="5"/>
    </w:pPr>
    <w:rPr>
      <w:rFonts w:ascii="Arial" w:hAnsi="Arial" w:eastAsia="Arial" w:cs="Arial"/>
      <w:b/>
      <w:sz w:val="22"/>
    </w:rPr>
  </w:style>
  <w:style w:type="character" w:styleId="724">
    <w:name w:val="Heading 6 Char"/>
    <w:basedOn w:val="891"/>
    <w:rPr>
      <w:rFonts w:ascii="Arial" w:hAnsi="Arial" w:eastAsia="Arial" w:cs="Arial"/>
      <w:b/>
      <w:sz w:val="22"/>
    </w:rPr>
  </w:style>
  <w:style w:type="paragraph" w:styleId="725">
    <w:name w:val="Heading 7"/>
    <w:basedOn w:val="889"/>
    <w:unhideWhenUsed/>
    <w:qFormat/>
    <w:pPr>
      <w:jc w:val="left"/>
      <w:keepLines/>
      <w:keepNext/>
      <w:spacing w:before="320" w:after="200" w:line="240" w:lineRule="auto"/>
      <w:outlineLvl w:val="6"/>
    </w:pPr>
    <w:rPr>
      <w:rFonts w:ascii="Arial" w:hAnsi="Arial" w:eastAsia="Arial" w:cs="Arial"/>
      <w:b/>
      <w:i/>
      <w:sz w:val="22"/>
    </w:rPr>
  </w:style>
  <w:style w:type="character" w:styleId="726">
    <w:name w:val="Heading 7 Char"/>
    <w:basedOn w:val="891"/>
    <w:rPr>
      <w:rFonts w:ascii="Arial" w:hAnsi="Arial" w:eastAsia="Arial" w:cs="Arial"/>
      <w:b/>
      <w:i/>
      <w:sz w:val="22"/>
    </w:rPr>
  </w:style>
  <w:style w:type="paragraph" w:styleId="727">
    <w:name w:val="Heading 8"/>
    <w:basedOn w:val="889"/>
    <w:unhideWhenUsed/>
    <w:qFormat/>
    <w:pPr>
      <w:jc w:val="left"/>
      <w:keepLines/>
      <w:keepNext/>
      <w:spacing w:before="320" w:after="200" w:line="240" w:lineRule="auto"/>
      <w:outlineLvl w:val="7"/>
    </w:pPr>
    <w:rPr>
      <w:rFonts w:ascii="Arial" w:hAnsi="Arial" w:eastAsia="Arial" w:cs="Arial"/>
      <w:i/>
      <w:sz w:val="22"/>
    </w:rPr>
  </w:style>
  <w:style w:type="character" w:styleId="728">
    <w:name w:val="Heading 8 Char"/>
    <w:basedOn w:val="891"/>
    <w:rPr>
      <w:rFonts w:ascii="Arial" w:hAnsi="Arial" w:eastAsia="Arial" w:cs="Arial"/>
      <w:i/>
      <w:sz w:val="22"/>
    </w:rPr>
  </w:style>
  <w:style w:type="paragraph" w:styleId="729">
    <w:name w:val="Heading 9"/>
    <w:basedOn w:val="889"/>
    <w:unhideWhenUsed/>
    <w:qFormat/>
    <w:pPr>
      <w:jc w:val="left"/>
      <w:keepLines/>
      <w:keepNext/>
      <w:spacing w:before="320" w:after="200" w:line="240" w:lineRule="auto"/>
      <w:outlineLvl w:val="8"/>
    </w:pPr>
    <w:rPr>
      <w:rFonts w:ascii="Arial" w:hAnsi="Arial" w:eastAsia="Arial" w:cs="Arial"/>
      <w:i/>
      <w:sz w:val="21"/>
    </w:rPr>
  </w:style>
  <w:style w:type="character" w:styleId="730">
    <w:name w:val="Heading 9 Char"/>
    <w:basedOn w:val="891"/>
    <w:rPr>
      <w:rFonts w:ascii="Arial" w:hAnsi="Arial" w:eastAsia="Arial" w:cs="Arial"/>
      <w:i/>
      <w:sz w:val="21"/>
    </w:rPr>
  </w:style>
  <w:style w:type="paragraph" w:styleId="731">
    <w:name w:val="List Paragraph"/>
    <w:basedOn w:val="889"/>
    <w:qFormat/>
    <w:pPr>
      <w:contextualSpacing/>
      <w:ind w:left="720"/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32">
    <w:name w:val="No Spacing"/>
    <w:qFormat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33">
    <w:name w:val="Title"/>
    <w:basedOn w:val="889"/>
    <w:qFormat/>
    <w:pPr>
      <w:contextualSpacing/>
      <w:jc w:val="left"/>
      <w:spacing w:before="300" w:after="200" w:line="240" w:lineRule="auto"/>
    </w:pPr>
    <w:rPr>
      <w:rFonts w:ascii="Arial" w:hAnsi="Arial" w:eastAsia="Arial" w:cs="Arial"/>
      <w:sz w:val="48"/>
    </w:rPr>
  </w:style>
  <w:style w:type="character" w:styleId="734">
    <w:name w:val="Title Char"/>
    <w:basedOn w:val="891"/>
    <w:rPr>
      <w:rFonts w:ascii="Arial" w:hAnsi="Arial" w:eastAsia="Arial" w:cs="Arial"/>
      <w:sz w:val="48"/>
    </w:rPr>
  </w:style>
  <w:style w:type="paragraph" w:styleId="735">
    <w:name w:val="Subtitle"/>
    <w:basedOn w:val="889"/>
    <w:qFormat/>
    <w:pPr>
      <w:jc w:val="left"/>
      <w:spacing w:before="200" w:after="200" w:line="240" w:lineRule="auto"/>
    </w:pPr>
    <w:rPr>
      <w:rFonts w:ascii="Arial" w:hAnsi="Arial" w:eastAsia="Arial" w:cs="Arial"/>
      <w:sz w:val="24"/>
    </w:rPr>
  </w:style>
  <w:style w:type="character" w:styleId="736">
    <w:name w:val="Subtitle Char"/>
    <w:basedOn w:val="891"/>
    <w:rPr>
      <w:rFonts w:ascii="Arial" w:hAnsi="Arial" w:eastAsia="Arial" w:cs="Arial"/>
      <w:sz w:val="24"/>
    </w:rPr>
  </w:style>
  <w:style w:type="paragraph" w:styleId="737">
    <w:name w:val="Quote"/>
    <w:basedOn w:val="889"/>
    <w:qFormat/>
    <w:pPr>
      <w:ind w:left="720"/>
      <w:jc w:val="left"/>
      <w:spacing w:before="0" w:after="0" w:line="240" w:lineRule="auto"/>
    </w:pPr>
    <w:rPr>
      <w:rFonts w:ascii="Arial" w:hAnsi="Arial" w:eastAsia="Arial" w:cs="Arial"/>
      <w:i/>
      <w:sz w:val="24"/>
    </w:rPr>
  </w:style>
  <w:style w:type="character" w:styleId="738">
    <w:name w:val="Quote Char"/>
    <w:rPr>
      <w:rFonts w:ascii="Arial" w:hAnsi="Arial" w:eastAsia="Arial" w:cs="Arial"/>
      <w:i/>
      <w:sz w:val="24"/>
    </w:rPr>
  </w:style>
  <w:style w:type="paragraph" w:styleId="739">
    <w:name w:val="Intense Quote"/>
    <w:basedOn w:val="889"/>
    <w:qFormat/>
    <w:pPr>
      <w:contextualSpacing w:val="0"/>
      <w:ind w:left="720"/>
      <w:jc w:val="left"/>
      <w:spacing w:before="0" w:after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Arial" w:hAnsi="Arial" w:eastAsia="Arial" w:cs="Arial"/>
      <w:i/>
      <w:sz w:val="24"/>
    </w:rPr>
  </w:style>
  <w:style w:type="character" w:styleId="740">
    <w:name w:val="Intense Quote Char"/>
    <w:rPr>
      <w:rFonts w:ascii="Arial" w:hAnsi="Arial" w:eastAsia="Arial" w:cs="Arial"/>
      <w:i/>
      <w:sz w:val="24"/>
    </w:rPr>
  </w:style>
  <w:style w:type="character" w:styleId="741">
    <w:name w:val="Header Char"/>
    <w:basedOn w:val="891"/>
    <w:rPr>
      <w:rFonts w:ascii="Arial" w:hAnsi="Arial" w:eastAsia="Arial" w:cs="Arial"/>
      <w:sz w:val="24"/>
    </w:rPr>
  </w:style>
  <w:style w:type="character" w:styleId="742">
    <w:name w:val="Footer Char"/>
    <w:basedOn w:val="891"/>
    <w:rPr>
      <w:rFonts w:ascii="Arial" w:hAnsi="Arial" w:eastAsia="Arial" w:cs="Arial"/>
      <w:sz w:val="24"/>
    </w:rPr>
  </w:style>
  <w:style w:type="paragraph" w:styleId="743">
    <w:name w:val="Caption"/>
    <w:basedOn w:val="889"/>
    <w:semiHidden/>
    <w:unhideWhenUsed/>
    <w:qFormat/>
    <w:pPr>
      <w:jc w:val="left"/>
      <w:spacing w:before="0" w:after="0" w:line="276" w:lineRule="auto"/>
    </w:pPr>
    <w:rPr>
      <w:rFonts w:ascii="Arial" w:hAnsi="Arial" w:eastAsia="Arial" w:cs="Arial"/>
      <w:b/>
      <w:color w:val="4f81bd"/>
      <w:sz w:val="18"/>
    </w:rPr>
  </w:style>
  <w:style w:type="character" w:styleId="744">
    <w:name w:val="Caption Char"/>
    <w:basedOn w:val="743"/>
    <w:rPr>
      <w:rFonts w:ascii="Arial" w:hAnsi="Arial" w:eastAsia="Arial" w:cs="Arial"/>
      <w:sz w:val="24"/>
    </w:rPr>
  </w:style>
  <w:style w:type="table" w:styleId="745">
    <w:name w:val="Table Grid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Table Grid Light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0">
    <w:name w:val="Plain Table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1">
    <w:name w:val="Plain Table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52">
    <w:name w:val="Grid Table 1 Light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3">
    <w:name w:val="Grid Table 1 Light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4">
    <w:name w:val="Grid Table 1 Light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5">
    <w:name w:val="Grid Table 1 Light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6">
    <w:name w:val="Grid Table 1 Light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7">
    <w:name w:val="Grid Table 1 Light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8">
    <w:name w:val="Grid Table 1 Light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9">
    <w:name w:val="Grid Table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0">
    <w:name w:val="Grid Table 2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1">
    <w:name w:val="Grid Table 2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2">
    <w:name w:val="Grid Table 2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3">
    <w:name w:val="Grid Table 2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4">
    <w:name w:val="Grid Table 2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5">
    <w:name w:val="Grid Table 2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6">
    <w:name w:val="Grid Table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7">
    <w:name w:val="Grid Table 3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8">
    <w:name w:val="Grid Table 3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9">
    <w:name w:val="Grid Table 3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0">
    <w:name w:val="Grid Table 3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1">
    <w:name w:val="Grid Table 3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2">
    <w:name w:val="Grid Table 3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3">
    <w:name w:val="Grid Table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4">
    <w:name w:val="Grid Table 4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5">
    <w:name w:val="Grid Table 4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6">
    <w:name w:val="Grid Table 4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7">
    <w:name w:val="Grid Table 4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8">
    <w:name w:val="Grid Table 4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9">
    <w:name w:val="Grid Table 4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0">
    <w:name w:val="Grid Table 5 Dark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bfbfbf"/>
      <w:tblLayout w:type="autofit"/>
      <w:tblCellMar>
        <w:left w:w="0" w:type="dxa"/>
        <w:right w:w="0" w:type="dxa"/>
      </w:tblCellMar>
    </w:tblPr>
  </w:style>
  <w:style w:type="table" w:styleId="781">
    <w:name w:val="Grid Table 5 Dark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debf6"/>
      <w:tblLayout w:type="autofit"/>
      <w:tblCellMar>
        <w:left w:w="0" w:type="dxa"/>
        <w:right w:w="0" w:type="dxa"/>
      </w:tblCellMar>
    </w:tblPr>
  </w:style>
  <w:style w:type="table" w:styleId="782">
    <w:name w:val="Grid Table 5 Dark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be5d6"/>
      <w:tblLayout w:type="autofit"/>
      <w:tblCellMar>
        <w:left w:w="0" w:type="dxa"/>
        <w:right w:w="0" w:type="dxa"/>
      </w:tblCellMar>
    </w:tblPr>
  </w:style>
  <w:style w:type="table" w:styleId="783">
    <w:name w:val="Grid Table 5 Dark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deded"/>
      <w:tblLayout w:type="autofit"/>
      <w:tblCellMar>
        <w:left w:w="0" w:type="dxa"/>
        <w:right w:w="0" w:type="dxa"/>
      </w:tblCellMar>
    </w:tblPr>
  </w:style>
  <w:style w:type="table" w:styleId="784">
    <w:name w:val="Grid Table 5 Dark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ef2cb"/>
      <w:tblLayout w:type="autofit"/>
      <w:tblCellMar>
        <w:left w:w="0" w:type="dxa"/>
        <w:right w:w="0" w:type="dxa"/>
      </w:tblCellMar>
    </w:tblPr>
  </w:style>
  <w:style w:type="table" w:styleId="785">
    <w:name w:val="Grid Table 5 Dark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9e2f2"/>
      <w:tblLayout w:type="autofit"/>
      <w:tblCellMar>
        <w:left w:w="0" w:type="dxa"/>
        <w:right w:w="0" w:type="dxa"/>
      </w:tblCellMar>
    </w:tblPr>
  </w:style>
  <w:style w:type="table" w:styleId="786">
    <w:name w:val="Grid Table 5 Dark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2efd8"/>
      <w:tblLayout w:type="autofit"/>
      <w:tblCellMar>
        <w:left w:w="0" w:type="dxa"/>
        <w:right w:w="0" w:type="dxa"/>
      </w:tblCellMar>
    </w:tblPr>
  </w:style>
  <w:style w:type="table" w:styleId="787">
    <w:name w:val="Grid Table 6 Colorful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8">
    <w:name w:val="Grid Table 6 Colorful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9">
    <w:name w:val="Grid Table 6 Colorful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0">
    <w:name w:val="Grid Table 6 Colorful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1">
    <w:name w:val="Grid Table 6 Colorful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2">
    <w:name w:val="Grid Table 6 Colorful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3">
    <w:name w:val="Grid Table 6 Colorful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4">
    <w:name w:val="Grid Table 7 Colorful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5">
    <w:name w:val="Grid Table 7 Colorful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6">
    <w:name w:val="Grid Table 7 Colorful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7">
    <w:name w:val="Grid Table 7 Colorful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8">
    <w:name w:val="Grid Table 7 Colorful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9">
    <w:name w:val="Grid Table 7 Colorful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0">
    <w:name w:val="Grid Table 7 Colorful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1">
    <w:name w:val="List Table 1 Light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2">
    <w:name w:val="List Table 1 Light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3">
    <w:name w:val="List Table 1 Light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4">
    <w:name w:val="List Table 1 Light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5">
    <w:name w:val="List Table 1 Light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6">
    <w:name w:val="List Table 1 Light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7">
    <w:name w:val="List Table 1 Light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8">
    <w:name w:val="List Table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9">
    <w:name w:val="List Table 2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0">
    <w:name w:val="List Table 2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1">
    <w:name w:val="List Table 2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2">
    <w:name w:val="List Table 2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3">
    <w:name w:val="List Table 2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4">
    <w:name w:val="List Table 2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5">
    <w:name w:val="List Table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6">
    <w:name w:val="List Table 3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7">
    <w:name w:val="List Table 3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8">
    <w:name w:val="List Table 3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9">
    <w:name w:val="List Table 3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0">
    <w:name w:val="List Table 3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1">
    <w:name w:val="List Table 3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2">
    <w:name w:val="List Table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3">
    <w:name w:val="List Table 4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4">
    <w:name w:val="List Table 4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5">
    <w:name w:val="List Table 4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6">
    <w:name w:val="List Table 4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7">
    <w:name w:val="List Table 4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8">
    <w:name w:val="List Table 4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9">
    <w:name w:val="List Table 5 Dark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7f7f7f"/>
      <w:tblLayout w:type="autofit"/>
      <w:tblCellMar>
        <w:left w:w="0" w:type="dxa"/>
        <w:right w:w="0" w:type="dxa"/>
      </w:tblCellMar>
    </w:tblPr>
  </w:style>
  <w:style w:type="table" w:styleId="830">
    <w:name w:val="List Table 5 Dark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5b9bd5"/>
      <w:tblLayout w:type="autofit"/>
      <w:tblCellMar>
        <w:left w:w="0" w:type="dxa"/>
        <w:right w:w="0" w:type="dxa"/>
      </w:tblCellMar>
    </w:tblPr>
  </w:style>
  <w:style w:type="table" w:styleId="831">
    <w:name w:val="List Table 5 Dark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f4b185"/>
      <w:tblLayout w:type="autofit"/>
      <w:tblCellMar>
        <w:left w:w="0" w:type="dxa"/>
        <w:right w:w="0" w:type="dxa"/>
      </w:tblCellMar>
    </w:tblPr>
  </w:style>
  <w:style w:type="table" w:styleId="832">
    <w:name w:val="List Table 5 Dark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c9c9c9"/>
      <w:tblLayout w:type="autofit"/>
      <w:tblCellMar>
        <w:left w:w="0" w:type="dxa"/>
        <w:right w:w="0" w:type="dxa"/>
      </w:tblCellMar>
    </w:tblPr>
  </w:style>
  <w:style w:type="table" w:styleId="833">
    <w:name w:val="List Table 5 Dark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ffd864"/>
      <w:tblLayout w:type="autofit"/>
      <w:tblCellMar>
        <w:left w:w="0" w:type="dxa"/>
        <w:right w:w="0" w:type="dxa"/>
      </w:tblCellMar>
    </w:tblPr>
  </w:style>
  <w:style w:type="table" w:styleId="834">
    <w:name w:val="List Table 5 Dark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8eabdb"/>
      <w:tblLayout w:type="autofit"/>
      <w:tblCellMar>
        <w:left w:w="0" w:type="dxa"/>
        <w:right w:w="0" w:type="dxa"/>
      </w:tblCellMar>
    </w:tblPr>
  </w:style>
  <w:style w:type="table" w:styleId="835">
    <w:name w:val="List Table 5 Dark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aad08f"/>
      <w:tblLayout w:type="autofit"/>
      <w:tblCellMar>
        <w:left w:w="0" w:type="dxa"/>
        <w:right w:w="0" w:type="dxa"/>
      </w:tblCellMar>
    </w:tblPr>
  </w:style>
  <w:style w:type="table" w:styleId="836">
    <w:name w:val="List Table 6 Colorful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7">
    <w:name w:val="List Table 6 Colorful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8">
    <w:name w:val="List Table 6 Colorful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9">
    <w:name w:val="List Table 6 Colorful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0">
    <w:name w:val="List Table 6 Colorful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1">
    <w:name w:val="List Table 6 Colorful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2">
    <w:name w:val="List Table 6 Colorful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3">
    <w:name w:val="List Table 7 Colorful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4">
    <w:name w:val="List Table 7 Colorful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5">
    <w:name w:val="List Table 7 Colorful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6">
    <w:name w:val="List Table 7 Colorful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7">
    <w:name w:val="List Table 7 Colorful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8">
    <w:name w:val="List Table 7 Colorful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9">
    <w:name w:val="List Table 7 Colorful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0">
    <w:name w:val="Lined - Accent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1">
    <w:name w:val="Lined - Accent 1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2">
    <w:name w:val="Lined - Accent 2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3">
    <w:name w:val="Lined - Accent 3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4">
    <w:name w:val="Lined - Accent 4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5">
    <w:name w:val="Lined - Accent 5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6">
    <w:name w:val="Lined - Accent 6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7">
    <w:name w:val="Bordered &amp; Lined - Accent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58">
    <w:name w:val="Bordered &amp; Lined - Accent 1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59">
    <w:name w:val="Bordered &amp; Lined - Accent 2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0">
    <w:name w:val="Bordered &amp; Lined - Accent 3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1">
    <w:name w:val="Bordered &amp; Lined - Accent 4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2">
    <w:name w:val="Bordered &amp; Lined - Accent 5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3">
    <w:name w:val="Bordered &amp; Lined - Accent 6"/>
    <w:basedOn w:val="89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4">
    <w:name w:val="Bordered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5">
    <w:name w:val="Bordered - Accent 1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6">
    <w:name w:val="Bordered - Accent 2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7">
    <w:name w:val="Bordered - Accent 3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8">
    <w:name w:val="Bordered - Accent 4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69">
    <w:name w:val="Bordered - Accent 5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0">
    <w:name w:val="Bordered - Accent 6"/>
    <w:basedOn w:val="89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character" w:styleId="871">
    <w:name w:val="Hyperlink"/>
    <w:unhideWhenUsed/>
    <w:rPr>
      <w:rFonts w:ascii="Arial" w:hAnsi="Arial" w:eastAsia="Arial" w:cs="Arial"/>
      <w:color w:val="0000ff"/>
      <w:sz w:val="24"/>
      <w:u w:val="single"/>
    </w:rPr>
  </w:style>
  <w:style w:type="paragraph" w:styleId="872">
    <w:name w:val="footnote text"/>
    <w:basedOn w:val="889"/>
    <w:semiHidden/>
    <w:unhideWhenUsed/>
    <w:pPr>
      <w:jc w:val="left"/>
      <w:spacing w:before="0" w:after="40" w:line="240" w:lineRule="auto"/>
    </w:pPr>
    <w:rPr>
      <w:rFonts w:ascii="Arial" w:hAnsi="Arial" w:eastAsia="Arial" w:cs="Arial"/>
      <w:sz w:val="18"/>
    </w:rPr>
  </w:style>
  <w:style w:type="character" w:styleId="873">
    <w:name w:val="Footnote Text Char"/>
    <w:rPr>
      <w:rFonts w:ascii="Arial" w:hAnsi="Arial" w:eastAsia="Arial" w:cs="Arial"/>
      <w:sz w:val="18"/>
    </w:rPr>
  </w:style>
  <w:style w:type="character" w:styleId="874">
    <w:name w:val="footnote reference"/>
    <w:basedOn w:val="891"/>
    <w:unhideWhenUsed/>
    <w:rPr>
      <w:rFonts w:ascii="Arial" w:hAnsi="Arial" w:eastAsia="Arial" w:cs="Arial"/>
      <w:sz w:val="24"/>
      <w:vertAlign w:val="superscript"/>
    </w:rPr>
  </w:style>
  <w:style w:type="paragraph" w:styleId="875">
    <w:name w:val="endnote text"/>
    <w:basedOn w:val="889"/>
    <w:semiHidden/>
    <w:unhideWhenUsed/>
    <w:pPr>
      <w:jc w:val="left"/>
      <w:spacing w:before="0" w:after="0" w:line="240" w:lineRule="auto"/>
    </w:pPr>
    <w:rPr>
      <w:rFonts w:ascii="Arial" w:hAnsi="Arial" w:eastAsia="Arial" w:cs="Arial"/>
      <w:sz w:val="20"/>
    </w:rPr>
  </w:style>
  <w:style w:type="character" w:styleId="876">
    <w:name w:val="Endnote Text Char"/>
    <w:rPr>
      <w:rFonts w:ascii="Arial" w:hAnsi="Arial" w:eastAsia="Arial" w:cs="Arial"/>
      <w:sz w:val="20"/>
    </w:rPr>
  </w:style>
  <w:style w:type="character" w:styleId="877">
    <w:name w:val="endnote reference"/>
    <w:basedOn w:val="891"/>
    <w:semiHidden/>
    <w:unhideWhenUsed/>
    <w:rPr>
      <w:rFonts w:ascii="Arial" w:hAnsi="Arial" w:eastAsia="Arial" w:cs="Arial"/>
      <w:sz w:val="24"/>
      <w:vertAlign w:val="superscript"/>
    </w:rPr>
  </w:style>
  <w:style w:type="paragraph" w:styleId="878">
    <w:name w:val="toc 1"/>
    <w:basedOn w:val="889"/>
    <w:unhideWhenUsed/>
    <w:pPr>
      <w:ind w:left="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79">
    <w:name w:val="toc 2"/>
    <w:basedOn w:val="889"/>
    <w:unhideWhenUsed/>
    <w:pPr>
      <w:ind w:left="283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0">
    <w:name w:val="toc 3"/>
    <w:basedOn w:val="889"/>
    <w:unhideWhenUsed/>
    <w:pPr>
      <w:ind w:left="56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1">
    <w:name w:val="toc 4"/>
    <w:basedOn w:val="889"/>
    <w:unhideWhenUsed/>
    <w:pPr>
      <w:ind w:left="85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2">
    <w:name w:val="toc 5"/>
    <w:basedOn w:val="889"/>
    <w:unhideWhenUsed/>
    <w:pPr>
      <w:ind w:left="113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3">
    <w:name w:val="toc 6"/>
    <w:basedOn w:val="889"/>
    <w:unhideWhenUsed/>
    <w:pPr>
      <w:ind w:left="141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4">
    <w:name w:val="toc 7"/>
    <w:basedOn w:val="889"/>
    <w:unhideWhenUsed/>
    <w:pPr>
      <w:ind w:left="1701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5">
    <w:name w:val="toc 8"/>
    <w:basedOn w:val="889"/>
    <w:unhideWhenUsed/>
    <w:pPr>
      <w:ind w:left="198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6">
    <w:name w:val="toc 9"/>
    <w:basedOn w:val="889"/>
    <w:unhideWhenUsed/>
    <w:pPr>
      <w:ind w:left="2268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87">
    <w:name w:val="TOC Heading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888">
    <w:name w:val="table of figures"/>
    <w:basedOn w:val="889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889" w:default="1">
    <w:name w:val="Normal"/>
    <w:qFormat/>
    <w:pPr>
      <w:ind w:left="0" w:firstLine="720"/>
      <w:jc w:val="both"/>
      <w:spacing w:before="0" w:after="0" w:line="240" w:lineRule="auto"/>
    </w:pPr>
    <w:rPr>
      <w:rFonts w:ascii="TimesNewRomanCYR" w:hAnsi="TimesNewRomanCYR" w:eastAsia="TimesNewRomanCYR" w:cs="TimesNewRomanCYR"/>
      <w:sz w:val="24"/>
    </w:rPr>
  </w:style>
  <w:style w:type="paragraph" w:styleId="890">
    <w:name w:val="Heading 1"/>
    <w:basedOn w:val="889"/>
    <w:qFormat/>
    <w:pPr>
      <w:ind w:left="0"/>
      <w:jc w:val="center"/>
      <w:spacing w:before="108" w:after="108" w:line="240" w:lineRule="auto"/>
      <w:outlineLvl w:val="0"/>
    </w:pPr>
    <w:rPr>
      <w:rFonts w:ascii="TimesNewRomanCYR" w:hAnsi="TimesNewRomanCYR" w:eastAsia="TimesNewRomanCYR" w:cs="TimesNewRomanCYR"/>
      <w:b/>
      <w:color w:val="26282f"/>
      <w:sz w:val="24"/>
    </w:rPr>
  </w:style>
  <w:style w:type="character" w:styleId="891" w:default="1">
    <w:name w:val="Default Paragraph Font"/>
    <w:semiHidden/>
    <w:unhideWhenUsed/>
    <w:rPr>
      <w:rFonts w:ascii="TimesNewRoman" w:hAnsi="TimesNewRoman" w:eastAsia="TimesNewRoman" w:cs="TimesNewRoman"/>
      <w:sz w:val="24"/>
    </w:rPr>
  </w:style>
  <w:style w:type="table" w:styleId="892" w:default="1">
    <w:name w:val="Normal Table"/>
    <w:semiHidden/>
    <w:unhideWhenUsed/>
    <w:pPr>
      <w:ind w:left="0"/>
      <w:jc w:val="left"/>
      <w:spacing w:before="0" w:after="160" w:line="259" w:lineRule="auto"/>
    </w:pPr>
    <w:rPr>
      <w:rFonts w:ascii="Calibri" w:hAnsi="Calibri" w:eastAsia="Calibri" w:cs="Calibri"/>
      <w:sz w:val="22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right w:w="108" w:type="dxa"/>
      </w:tblCellMar>
    </w:tblPr>
  </w:style>
  <w:style w:type="character" w:styleId="893">
    <w:name w:val="Заголовок 1 Знак"/>
    <w:basedOn w:val="891"/>
    <w:rPr>
      <w:rFonts w:ascii="CalibriLight" w:hAnsi="CalibriLight" w:eastAsia="CalibriLight" w:cs="CalibriLight"/>
      <w:b/>
      <w:sz w:val="32"/>
    </w:rPr>
  </w:style>
  <w:style w:type="character" w:styleId="894">
    <w:name w:val="Цветовое выделение"/>
    <w:rPr>
      <w:rFonts w:ascii="TimesNewRoman" w:hAnsi="TimesNewRoman" w:eastAsia="TimesNewRoman" w:cs="TimesNewRoman"/>
      <w:b/>
      <w:color w:val="26282f"/>
      <w:sz w:val="24"/>
    </w:rPr>
  </w:style>
  <w:style w:type="character" w:styleId="895">
    <w:name w:val="Гипертекстовая ссылка"/>
    <w:basedOn w:val="894"/>
    <w:rPr>
      <w:rFonts w:ascii="TimesNewRoman" w:hAnsi="TimesNewRoman" w:eastAsia="TimesNewRoman" w:cs="TimesNewRoman"/>
      <w:b w:val="0"/>
      <w:color w:val="106bbe"/>
      <w:sz w:val="24"/>
    </w:rPr>
  </w:style>
  <w:style w:type="paragraph" w:styleId="896">
    <w:name w:val="Нормальный (таблица)"/>
    <w:basedOn w:val="889"/>
    <w:pPr>
      <w:ind w:left="0"/>
      <w:jc w:val="both"/>
      <w:spacing w:before="0" w:after="0" w:line="240" w:lineRule="auto"/>
    </w:pPr>
    <w:rPr>
      <w:rFonts w:ascii="TimesNewRomanCYR" w:hAnsi="TimesNewRomanCYR" w:eastAsia="TimesNewRomanCYR" w:cs="TimesNewRomanCYR"/>
      <w:sz w:val="24"/>
    </w:rPr>
  </w:style>
  <w:style w:type="paragraph" w:styleId="897">
    <w:name w:val="Прижатый влево"/>
    <w:basedOn w:val="889"/>
    <w:pPr>
      <w:ind w:left="0"/>
      <w:jc w:val="left"/>
      <w:spacing w:before="0" w:after="0" w:line="240" w:lineRule="auto"/>
    </w:pPr>
    <w:rPr>
      <w:rFonts w:ascii="TimesNewRomanCYR" w:hAnsi="TimesNewRomanCYR" w:eastAsia="TimesNewRomanCYR" w:cs="TimesNewRomanCYR"/>
      <w:sz w:val="24"/>
    </w:rPr>
  </w:style>
  <w:style w:type="character" w:styleId="898">
    <w:name w:val="Цветовое выделение для Текст"/>
    <w:rPr>
      <w:rFonts w:ascii="TimesNewRomanCYR" w:hAnsi="TimesNewRomanCYR" w:eastAsia="TimesNewRomanCYR" w:cs="TimesNewRomanCYR"/>
      <w:sz w:val="24"/>
    </w:rPr>
  </w:style>
  <w:style w:type="paragraph" w:styleId="899">
    <w:name w:val="Header"/>
    <w:basedOn w:val="889"/>
    <w:unhideWhenUsed/>
    <w:pPr>
      <w:ind w:left="0" w:firstLine="720"/>
      <w:jc w:val="both"/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NewRomanCYR" w:hAnsi="TimesNewRomanCYR" w:eastAsia="TimesNewRomanCYR" w:cs="TimesNewRomanCYR"/>
      <w:sz w:val="24"/>
    </w:rPr>
  </w:style>
  <w:style w:type="character" w:styleId="900">
    <w:name w:val="Верхний колонтитул Знак"/>
    <w:basedOn w:val="891"/>
    <w:rPr>
      <w:rFonts w:ascii="TimesNewRomanCYR" w:hAnsi="TimesNewRomanCYR" w:eastAsia="TimesNewRomanCYR" w:cs="TimesNewRomanCYR"/>
      <w:sz w:val="24"/>
    </w:rPr>
  </w:style>
  <w:style w:type="paragraph" w:styleId="901">
    <w:name w:val="Footer"/>
    <w:basedOn w:val="889"/>
    <w:unhideWhenUsed/>
    <w:pPr>
      <w:ind w:left="0" w:firstLine="720"/>
      <w:jc w:val="both"/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NewRomanCYR" w:hAnsi="TimesNewRomanCYR" w:eastAsia="TimesNewRomanCYR" w:cs="TimesNewRomanCYR"/>
      <w:sz w:val="24"/>
    </w:rPr>
  </w:style>
  <w:style w:type="character" w:styleId="902">
    <w:name w:val="Нижний колонтитул Знак"/>
    <w:basedOn w:val="891"/>
    <w:rPr>
      <w:rFonts w:ascii="TimesNewRomanCYR" w:hAnsi="TimesNewRomanCYR" w:eastAsia="TimesNewRomanCYR" w:cs="TimesNewRomanCYR"/>
      <w:sz w:val="24"/>
    </w:rPr>
  </w:style>
  <w:style w:type="paragraph" w:styleId="903">
    <w:name w:val="Balloon Text"/>
    <w:basedOn w:val="889"/>
    <w:semiHidden/>
    <w:unhideWhenUsed/>
    <w:pPr>
      <w:ind w:left="0" w:firstLine="720"/>
      <w:jc w:val="both"/>
      <w:spacing w:before="0" w:after="0" w:line="240" w:lineRule="auto"/>
    </w:pPr>
    <w:rPr>
      <w:rFonts w:ascii="Tahoma" w:hAnsi="Tahoma" w:eastAsia="Tahoma" w:cs="Tahoma"/>
      <w:sz w:val="16"/>
    </w:rPr>
  </w:style>
  <w:style w:type="character" w:styleId="904">
    <w:name w:val="Текст выноски Знак"/>
    <w:basedOn w:val="891"/>
    <w:semiHidden/>
    <w:rPr>
      <w:rFonts w:ascii="Tahoma" w:hAnsi="Tahoma" w:eastAsia="Tahoma" w:cs="Tahoma"/>
      <w:sz w:val="16"/>
    </w:rPr>
  </w:style>
  <w:style w:type="numbering" w:styleId="9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://internet.garant.ru/document/redirect/400270474/0" TargetMode="External"/><Relationship Id="rId11" Type="http://schemas.openxmlformats.org/officeDocument/2006/relationships/hyperlink" Target="http://internet.garant.ru/document/redirect/22716382/0" TargetMode="External"/><Relationship Id="rId12" Type="http://schemas.openxmlformats.org/officeDocument/2006/relationships/hyperlink" Target="http://internet.garant.ru/document/redirect/22716747/0" TargetMode="External"/><Relationship Id="rId13" Type="http://schemas.openxmlformats.org/officeDocument/2006/relationships/hyperlink" Target="http://internet.garant.ru/document/redirect/42517022/0" TargetMode="External"/><Relationship Id="rId14" Type="http://schemas.openxmlformats.org/officeDocument/2006/relationships/hyperlink" Target="http://internet.garant.ru/document/redirect/400270475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revision>6</cp:revision>
  <dcterms:modified xsi:type="dcterms:W3CDTF">2024-12-23T07:39:35Z</dcterms:modified>
</cp:coreProperties>
</file>